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9A" w:rsidRDefault="003F6A9A" w:rsidP="001806AD">
      <w:pPr>
        <w:spacing w:after="0" w:line="240" w:lineRule="auto"/>
        <w:jc w:val="right"/>
        <w:rPr>
          <w:rFonts w:ascii="Times New Roman" w:hAnsi="Times New Roman" w:cs="Times New Roman"/>
          <w:b/>
          <w:sz w:val="28"/>
          <w:szCs w:val="28"/>
          <w:u w:val="single"/>
          <w:lang w:val="en-US"/>
        </w:rPr>
      </w:pPr>
    </w:p>
    <w:p w:rsidR="003F6A9A" w:rsidRDefault="003F6A9A" w:rsidP="001806AD">
      <w:pPr>
        <w:spacing w:after="0" w:line="240" w:lineRule="auto"/>
        <w:jc w:val="right"/>
        <w:rPr>
          <w:rFonts w:ascii="Times New Roman" w:hAnsi="Times New Roman" w:cs="Times New Roman"/>
          <w:b/>
          <w:sz w:val="28"/>
          <w:szCs w:val="28"/>
          <w:u w:val="single"/>
          <w:lang w:val="en-US"/>
        </w:rPr>
      </w:pPr>
    </w:p>
    <w:p w:rsidR="003F6A9A" w:rsidRDefault="00A81986" w:rsidP="003F6A9A">
      <w:pPr>
        <w:spacing w:after="0" w:line="240" w:lineRule="auto"/>
        <w:jc w:val="center"/>
        <w:rPr>
          <w:rFonts w:ascii="Times New Roman" w:hAnsi="Times New Roman" w:cs="Times New Roman"/>
          <w:b/>
          <w:sz w:val="40"/>
          <w:szCs w:val="40"/>
          <w:u w:val="single"/>
          <w:lang w:val="en-US"/>
        </w:rPr>
      </w:pPr>
      <w:r w:rsidRPr="003F6A9A">
        <w:rPr>
          <w:rFonts w:ascii="Times New Roman" w:hAnsi="Times New Roman" w:cs="Times New Roman"/>
          <w:b/>
          <w:sz w:val="40"/>
          <w:szCs w:val="40"/>
          <w:u w:val="single"/>
          <w:lang w:val="en-US"/>
        </w:rPr>
        <w:t>EcoOdyssey:</w:t>
      </w:r>
      <w:bookmarkStart w:id="0" w:name="_GoBack"/>
      <w:bookmarkEnd w:id="0"/>
    </w:p>
    <w:p w:rsidR="003F6A9A" w:rsidRPr="003F6A9A" w:rsidRDefault="003F6A9A" w:rsidP="003F6A9A">
      <w:pPr>
        <w:spacing w:after="0" w:line="240" w:lineRule="auto"/>
        <w:jc w:val="center"/>
        <w:rPr>
          <w:rFonts w:ascii="Times New Roman" w:hAnsi="Times New Roman" w:cs="Times New Roman"/>
          <w:b/>
          <w:sz w:val="40"/>
          <w:szCs w:val="40"/>
          <w:u w:val="single"/>
          <w:lang w:val="en-US"/>
        </w:rPr>
      </w:pPr>
    </w:p>
    <w:p w:rsidR="00A81986" w:rsidRDefault="00A81986" w:rsidP="003F6A9A">
      <w:pPr>
        <w:spacing w:after="0" w:line="240" w:lineRule="auto"/>
        <w:jc w:val="center"/>
        <w:rPr>
          <w:rFonts w:ascii="Times New Roman" w:hAnsi="Times New Roman" w:cs="Times New Roman"/>
          <w:b/>
          <w:sz w:val="40"/>
          <w:szCs w:val="40"/>
          <w:u w:val="single"/>
          <w:lang w:val="en-US"/>
        </w:rPr>
      </w:pPr>
      <w:r w:rsidRPr="003F6A9A">
        <w:rPr>
          <w:rFonts w:ascii="Times New Roman" w:hAnsi="Times New Roman" w:cs="Times New Roman"/>
          <w:b/>
          <w:sz w:val="40"/>
          <w:szCs w:val="40"/>
          <w:u w:val="single"/>
          <w:lang w:val="en-US"/>
        </w:rPr>
        <w:t>Bangladesh's Green Tomorrow</w:t>
      </w:r>
    </w:p>
    <w:p w:rsidR="003F6A9A" w:rsidRPr="003F6A9A" w:rsidRDefault="003F6A9A" w:rsidP="003F6A9A">
      <w:pPr>
        <w:spacing w:after="0" w:line="240" w:lineRule="auto"/>
        <w:jc w:val="center"/>
        <w:rPr>
          <w:rFonts w:ascii="Times New Roman" w:hAnsi="Times New Roman" w:cs="Times New Roman"/>
          <w:b/>
          <w:sz w:val="40"/>
          <w:szCs w:val="40"/>
          <w:u w:val="single"/>
          <w:lang w:val="en-US"/>
        </w:rPr>
      </w:pPr>
    </w:p>
    <w:p w:rsidR="0019259E" w:rsidRPr="003F6A9A" w:rsidRDefault="00A81986" w:rsidP="003F6A9A">
      <w:pPr>
        <w:spacing w:after="0" w:line="240" w:lineRule="auto"/>
        <w:jc w:val="center"/>
        <w:rPr>
          <w:rFonts w:ascii="Times New Roman" w:hAnsi="Times New Roman" w:cs="Times New Roman"/>
          <w:b/>
          <w:sz w:val="40"/>
          <w:szCs w:val="40"/>
          <w:u w:val="single"/>
          <w:lang w:val="en-US"/>
        </w:rPr>
      </w:pPr>
      <w:r w:rsidRPr="003F6A9A">
        <w:rPr>
          <w:rFonts w:ascii="Times New Roman" w:hAnsi="Times New Roman" w:cs="Times New Roman"/>
          <w:b/>
          <w:sz w:val="40"/>
          <w:szCs w:val="40"/>
          <w:u w:val="single"/>
          <w:lang w:val="en-US"/>
        </w:rPr>
        <w:t>with MBGC Marvels</w:t>
      </w:r>
    </w:p>
    <w:p w:rsidR="00A81986" w:rsidRPr="00A81986" w:rsidRDefault="00A81986" w:rsidP="001806AD">
      <w:pPr>
        <w:spacing w:after="0" w:line="240" w:lineRule="auto"/>
        <w:jc w:val="right"/>
        <w:rPr>
          <w:rFonts w:ascii="Times New Roman" w:hAnsi="Times New Roman" w:cs="Times New Roman"/>
          <w:b/>
          <w:sz w:val="44"/>
          <w:szCs w:val="44"/>
          <w:lang w:val="en-US"/>
        </w:rPr>
      </w:pPr>
    </w:p>
    <w:p w:rsidR="00264695" w:rsidRDefault="00264695" w:rsidP="001806AD">
      <w:pPr>
        <w:spacing w:after="0" w:line="240" w:lineRule="auto"/>
        <w:jc w:val="both"/>
        <w:rPr>
          <w:rFonts w:ascii="Times New Roman" w:hAnsi="Times New Roman" w:cs="Times New Roman"/>
          <w:b/>
          <w:sz w:val="24"/>
          <w:szCs w:val="24"/>
          <w:u w:val="single"/>
          <w:lang w:val="en-US"/>
        </w:rPr>
      </w:pPr>
    </w:p>
    <w:p w:rsidR="00264695" w:rsidRDefault="00264695" w:rsidP="001806AD">
      <w:pPr>
        <w:spacing w:after="0" w:line="240" w:lineRule="auto"/>
        <w:jc w:val="both"/>
        <w:rPr>
          <w:rFonts w:ascii="Times New Roman" w:hAnsi="Times New Roman" w:cs="Times New Roman"/>
          <w:b/>
          <w:sz w:val="72"/>
          <w:szCs w:val="72"/>
          <w:lang w:val="en-US"/>
        </w:rPr>
      </w:pPr>
    </w:p>
    <w:p w:rsidR="003F6A9A" w:rsidRPr="00264695" w:rsidRDefault="003F6A9A" w:rsidP="001806AD">
      <w:pPr>
        <w:spacing w:after="0" w:line="240" w:lineRule="auto"/>
        <w:jc w:val="both"/>
        <w:rPr>
          <w:rFonts w:ascii="Times New Roman" w:hAnsi="Times New Roman" w:cs="Times New Roman"/>
          <w:b/>
          <w:sz w:val="72"/>
          <w:szCs w:val="72"/>
          <w:lang w:val="en-US"/>
        </w:rPr>
      </w:pPr>
    </w:p>
    <w:p w:rsidR="00635369" w:rsidRDefault="00264695" w:rsidP="00635369">
      <w:pPr>
        <w:spacing w:after="0" w:line="240" w:lineRule="auto"/>
        <w:jc w:val="right"/>
        <w:rPr>
          <w:rFonts w:ascii="Times New Roman" w:hAnsi="Times New Roman" w:cs="Times New Roman"/>
          <w:b/>
          <w:lang w:val="en-US"/>
        </w:rPr>
      </w:pPr>
      <w:r w:rsidRPr="00635369">
        <w:rPr>
          <w:rFonts w:ascii="Times New Roman" w:hAnsi="Times New Roman" w:cs="Times New Roman"/>
          <w:b/>
          <w:lang w:val="en-US"/>
        </w:rPr>
        <w:t>SDG 11.1 what get by MBGC ?</w:t>
      </w:r>
      <w:r w:rsidR="00635369" w:rsidRPr="00635369">
        <w:rPr>
          <w:rFonts w:ascii="Times New Roman" w:hAnsi="Times New Roman" w:cs="Times New Roman"/>
          <w:b/>
          <w:lang w:val="en-US"/>
        </w:rPr>
        <w:t xml:space="preserve"> </w:t>
      </w:r>
      <w:r w:rsidRPr="00635369">
        <w:rPr>
          <w:rFonts w:ascii="Times New Roman" w:hAnsi="Times New Roman" w:cs="Times New Roman"/>
          <w:b/>
          <w:lang w:val="en-US"/>
        </w:rPr>
        <w:t>(Mini Bio Gas Continuous)</w:t>
      </w:r>
    </w:p>
    <w:p w:rsidR="00635369" w:rsidRPr="00635369" w:rsidRDefault="00635369" w:rsidP="00635369">
      <w:pPr>
        <w:spacing w:after="0" w:line="240" w:lineRule="auto"/>
        <w:jc w:val="right"/>
        <w:rPr>
          <w:rFonts w:ascii="Times New Roman" w:eastAsia="Times New Roman" w:hAnsi="Times New Roman" w:cs="Times New Roman"/>
          <w:b/>
          <w:sz w:val="32"/>
          <w:szCs w:val="32"/>
          <w:lang w:val="en-US" w:eastAsia="it-IT"/>
        </w:rPr>
      </w:pPr>
      <w:r w:rsidRPr="00635369">
        <w:rPr>
          <w:rFonts w:ascii="Times New Roman" w:eastAsia="Times New Roman" w:hAnsi="Times New Roman" w:cs="Times New Roman"/>
          <w:b/>
          <w:sz w:val="32"/>
          <w:szCs w:val="32"/>
          <w:lang w:val="en-US" w:eastAsia="it-IT"/>
        </w:rPr>
        <w:t xml:space="preserve">Digester - MBGC toward SDGs/UN 11.1 </w:t>
      </w:r>
    </w:p>
    <w:p w:rsidR="00635369" w:rsidRPr="00635369" w:rsidRDefault="00635369" w:rsidP="00635369">
      <w:pPr>
        <w:spacing w:after="0" w:line="240" w:lineRule="auto"/>
        <w:jc w:val="right"/>
        <w:rPr>
          <w:rFonts w:ascii="Times New Roman" w:eastAsia="Times New Roman" w:hAnsi="Times New Roman" w:cs="Times New Roman"/>
          <w:b/>
          <w:sz w:val="20"/>
          <w:szCs w:val="20"/>
          <w:lang w:val="en-US" w:eastAsia="it-IT"/>
        </w:rPr>
      </w:pPr>
      <w:r w:rsidRPr="00635369">
        <w:rPr>
          <w:rFonts w:ascii="Times New Roman" w:eastAsia="Times New Roman" w:hAnsi="Times New Roman" w:cs="Times New Roman"/>
          <w:b/>
          <w:sz w:val="20"/>
          <w:szCs w:val="20"/>
          <w:lang w:val="en-US" w:eastAsia="it-IT"/>
        </w:rPr>
        <w:t>(</w:t>
      </w:r>
      <w:r w:rsidRPr="00635369">
        <w:rPr>
          <w:sz w:val="20"/>
          <w:szCs w:val="20"/>
          <w:lang w:val="en-US"/>
        </w:rPr>
        <w:t>By 2030, ensure access for all to adequate, safe and affordable housing and basic services and upgrade slums</w:t>
      </w:r>
      <w:r w:rsidRPr="00635369">
        <w:rPr>
          <w:rFonts w:ascii="Times New Roman" w:eastAsia="Times New Roman" w:hAnsi="Times New Roman" w:cs="Times New Roman"/>
          <w:b/>
          <w:sz w:val="20"/>
          <w:szCs w:val="20"/>
          <w:lang w:val="en-US" w:eastAsia="it-IT"/>
        </w:rPr>
        <w:t>)</w:t>
      </w:r>
    </w:p>
    <w:p w:rsidR="00635369" w:rsidRPr="00264695" w:rsidRDefault="00635369" w:rsidP="00264695">
      <w:pPr>
        <w:spacing w:after="0" w:line="240" w:lineRule="auto"/>
        <w:jc w:val="right"/>
        <w:rPr>
          <w:rFonts w:ascii="Times New Roman" w:hAnsi="Times New Roman" w:cs="Times New Roman"/>
          <w:b/>
          <w:sz w:val="28"/>
          <w:szCs w:val="28"/>
          <w:lang w:val="en-US"/>
        </w:rPr>
      </w:pP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3F6A9A" w:rsidRDefault="00373823" w:rsidP="00E40853">
          <w:pPr>
            <w:pStyle w:val="Titolosommario"/>
            <w:jc w:val="both"/>
            <w:rPr>
              <w:rFonts w:cs="Times New Roman"/>
              <w:sz w:val="24"/>
              <w:szCs w:val="24"/>
            </w:rPr>
          </w:pPr>
          <w:r w:rsidRPr="003F6A9A">
            <w:rPr>
              <w:rFonts w:cs="Times New Roman"/>
            </w:rPr>
            <w:t>Su</w:t>
          </w:r>
          <w:r w:rsidR="00D86830" w:rsidRPr="003F6A9A">
            <w:rPr>
              <w:rFonts w:cs="Times New Roman"/>
            </w:rPr>
            <w:t>mmar</w:t>
          </w:r>
          <w:r w:rsidRPr="003F6A9A">
            <w:rPr>
              <w:rFonts w:cs="Times New Roman"/>
            </w:rPr>
            <w:t>y</w:t>
          </w:r>
        </w:p>
        <w:p w:rsidR="00373823" w:rsidRPr="003F6A9A" w:rsidRDefault="00373823" w:rsidP="00373823">
          <w:pPr>
            <w:rPr>
              <w:b/>
            </w:rPr>
          </w:pPr>
        </w:p>
        <w:p w:rsidR="003F6A9A" w:rsidRPr="003F6A9A" w:rsidRDefault="007C1F2A">
          <w:pPr>
            <w:pStyle w:val="Sommario1"/>
            <w:rPr>
              <w:rFonts w:eastAsiaTheme="minorEastAsia"/>
              <w:lang w:val="it-IT" w:eastAsia="it-IT"/>
            </w:rPr>
          </w:pPr>
          <w:r w:rsidRPr="003F6A9A">
            <w:rPr>
              <w:rFonts w:ascii="Times New Roman" w:hAnsi="Times New Roman" w:cs="Times New Roman"/>
              <w:sz w:val="24"/>
              <w:szCs w:val="24"/>
            </w:rPr>
            <w:fldChar w:fldCharType="begin"/>
          </w:r>
          <w:r w:rsidR="00E94710" w:rsidRPr="003F6A9A">
            <w:rPr>
              <w:rFonts w:ascii="Times New Roman" w:hAnsi="Times New Roman" w:cs="Times New Roman"/>
              <w:sz w:val="24"/>
              <w:szCs w:val="24"/>
            </w:rPr>
            <w:instrText xml:space="preserve"> TOC \o "1-3" \h \z \u </w:instrText>
          </w:r>
          <w:r w:rsidRPr="003F6A9A">
            <w:rPr>
              <w:rFonts w:ascii="Times New Roman" w:hAnsi="Times New Roman" w:cs="Times New Roman"/>
              <w:sz w:val="24"/>
              <w:szCs w:val="24"/>
            </w:rPr>
            <w:fldChar w:fldCharType="separate"/>
          </w:r>
          <w:hyperlink w:anchor="_Toc150290163" w:history="1">
            <w:r w:rsidR="003F6A9A" w:rsidRPr="003F6A9A">
              <w:rPr>
                <w:rStyle w:val="Collegamentoipertestuale"/>
              </w:rPr>
              <w:t>Index 1</w:t>
            </w:r>
            <w:r w:rsidR="003F6A9A" w:rsidRPr="003F6A9A">
              <w:rPr>
                <w:webHidden/>
              </w:rPr>
              <w:tab/>
            </w:r>
            <w:r w:rsidR="003F6A9A" w:rsidRPr="003F6A9A">
              <w:rPr>
                <w:webHidden/>
              </w:rPr>
              <w:fldChar w:fldCharType="begin"/>
            </w:r>
            <w:r w:rsidR="003F6A9A" w:rsidRPr="003F6A9A">
              <w:rPr>
                <w:webHidden/>
              </w:rPr>
              <w:instrText xml:space="preserve"> PAGEREF _Toc150290163 \h </w:instrText>
            </w:r>
            <w:r w:rsidR="003F6A9A" w:rsidRPr="003F6A9A">
              <w:rPr>
                <w:webHidden/>
              </w:rPr>
            </w:r>
            <w:r w:rsidR="003F6A9A" w:rsidRPr="003F6A9A">
              <w:rPr>
                <w:webHidden/>
              </w:rPr>
              <w:fldChar w:fldCharType="separate"/>
            </w:r>
            <w:r w:rsidR="003F6A9A" w:rsidRPr="003F6A9A">
              <w:rPr>
                <w:webHidden/>
              </w:rPr>
              <w:t>4</w:t>
            </w:r>
            <w:r w:rsidR="003F6A9A" w:rsidRPr="003F6A9A">
              <w:rPr>
                <w:webHidden/>
              </w:rPr>
              <w:fldChar w:fldCharType="end"/>
            </w:r>
          </w:hyperlink>
        </w:p>
        <w:p w:rsidR="003F6A9A" w:rsidRPr="003F6A9A" w:rsidRDefault="003F6A9A">
          <w:pPr>
            <w:pStyle w:val="Sommario1"/>
            <w:rPr>
              <w:rFonts w:eastAsiaTheme="minorEastAsia"/>
              <w:lang w:val="it-IT" w:eastAsia="it-IT"/>
            </w:rPr>
          </w:pPr>
          <w:hyperlink w:anchor="_Toc150290164" w:history="1">
            <w:r w:rsidRPr="003F6A9A">
              <w:rPr>
                <w:rStyle w:val="Collegamentoipertestuale"/>
              </w:rPr>
              <w:t>Title: "EcoOdyssey: Bangladesh's Green Tomorrow with MBGC Marvels"</w:t>
            </w:r>
            <w:r w:rsidRPr="003F6A9A">
              <w:rPr>
                <w:webHidden/>
              </w:rPr>
              <w:tab/>
            </w:r>
            <w:r w:rsidRPr="003F6A9A">
              <w:rPr>
                <w:webHidden/>
              </w:rPr>
              <w:fldChar w:fldCharType="begin"/>
            </w:r>
            <w:r w:rsidRPr="003F6A9A">
              <w:rPr>
                <w:webHidden/>
              </w:rPr>
              <w:instrText xml:space="preserve"> PAGEREF _Toc150290164 \h </w:instrText>
            </w:r>
            <w:r w:rsidRPr="003F6A9A">
              <w:rPr>
                <w:webHidden/>
              </w:rPr>
            </w:r>
            <w:r w:rsidRPr="003F6A9A">
              <w:rPr>
                <w:webHidden/>
              </w:rPr>
              <w:fldChar w:fldCharType="separate"/>
            </w:r>
            <w:r w:rsidRPr="003F6A9A">
              <w:rPr>
                <w:webHidden/>
              </w:rPr>
              <w:t>5</w:t>
            </w:r>
            <w:r w:rsidRPr="003F6A9A">
              <w:rPr>
                <w:webHidden/>
              </w:rPr>
              <w:fldChar w:fldCharType="end"/>
            </w:r>
          </w:hyperlink>
        </w:p>
        <w:p w:rsidR="003F6A9A" w:rsidRPr="003F6A9A" w:rsidRDefault="003F6A9A">
          <w:pPr>
            <w:pStyle w:val="Sommario1"/>
            <w:rPr>
              <w:rFonts w:eastAsiaTheme="minorEastAsia"/>
              <w:lang w:val="it-IT" w:eastAsia="it-IT"/>
            </w:rPr>
          </w:pPr>
          <w:hyperlink w:anchor="_Toc150290165" w:history="1">
            <w:r w:rsidRPr="003F6A9A">
              <w:rPr>
                <w:rStyle w:val="Collegamentoipertestuale"/>
              </w:rPr>
              <w:t>Benefits after Applying MBGC in Bangladesh</w:t>
            </w:r>
            <w:r w:rsidRPr="003F6A9A">
              <w:rPr>
                <w:webHidden/>
              </w:rPr>
              <w:tab/>
            </w:r>
            <w:r w:rsidRPr="003F6A9A">
              <w:rPr>
                <w:webHidden/>
              </w:rPr>
              <w:fldChar w:fldCharType="begin"/>
            </w:r>
            <w:r w:rsidRPr="003F6A9A">
              <w:rPr>
                <w:webHidden/>
              </w:rPr>
              <w:instrText xml:space="preserve"> PAGEREF _Toc150290165 \h </w:instrText>
            </w:r>
            <w:r w:rsidRPr="003F6A9A">
              <w:rPr>
                <w:webHidden/>
              </w:rPr>
            </w:r>
            <w:r w:rsidRPr="003F6A9A">
              <w:rPr>
                <w:webHidden/>
              </w:rPr>
              <w:fldChar w:fldCharType="separate"/>
            </w:r>
            <w:r w:rsidRPr="003F6A9A">
              <w:rPr>
                <w:webHidden/>
              </w:rPr>
              <w:t>19</w:t>
            </w:r>
            <w:r w:rsidRPr="003F6A9A">
              <w:rPr>
                <w:webHidden/>
              </w:rPr>
              <w:fldChar w:fldCharType="end"/>
            </w:r>
          </w:hyperlink>
        </w:p>
        <w:p w:rsidR="003F6A9A" w:rsidRPr="003F6A9A" w:rsidRDefault="003F6A9A">
          <w:pPr>
            <w:pStyle w:val="Sommario2"/>
            <w:tabs>
              <w:tab w:val="right" w:leader="dot" w:pos="5659"/>
            </w:tabs>
            <w:rPr>
              <w:rFonts w:eastAsiaTheme="minorEastAsia"/>
              <w:b/>
              <w:noProof/>
              <w:lang w:eastAsia="it-IT"/>
            </w:rPr>
          </w:pPr>
          <w:hyperlink w:anchor="_Toc150290166" w:history="1">
            <w:r w:rsidRPr="003F6A9A">
              <w:rPr>
                <w:rStyle w:val="Collegamentoipertestuale"/>
                <w:b/>
                <w:noProof/>
                <w:lang w:val="en-US"/>
              </w:rPr>
              <w:t>J W T</w:t>
            </w:r>
            <w:r w:rsidRPr="003F6A9A">
              <w:rPr>
                <w:b/>
                <w:noProof/>
                <w:webHidden/>
              </w:rPr>
              <w:tab/>
            </w:r>
            <w:r w:rsidRPr="003F6A9A">
              <w:rPr>
                <w:b/>
                <w:noProof/>
                <w:webHidden/>
              </w:rPr>
              <w:fldChar w:fldCharType="begin"/>
            </w:r>
            <w:r w:rsidRPr="003F6A9A">
              <w:rPr>
                <w:b/>
                <w:noProof/>
                <w:webHidden/>
              </w:rPr>
              <w:instrText xml:space="preserve"> PAGEREF _Toc150290166 \h </w:instrText>
            </w:r>
            <w:r w:rsidRPr="003F6A9A">
              <w:rPr>
                <w:b/>
                <w:noProof/>
                <w:webHidden/>
              </w:rPr>
            </w:r>
            <w:r w:rsidRPr="003F6A9A">
              <w:rPr>
                <w:b/>
                <w:noProof/>
                <w:webHidden/>
              </w:rPr>
              <w:fldChar w:fldCharType="separate"/>
            </w:r>
            <w:r w:rsidRPr="003F6A9A">
              <w:rPr>
                <w:b/>
                <w:noProof/>
                <w:webHidden/>
              </w:rPr>
              <w:t>40</w:t>
            </w:r>
            <w:r w:rsidRPr="003F6A9A">
              <w:rPr>
                <w:b/>
                <w:noProof/>
                <w:webHidden/>
              </w:rPr>
              <w:fldChar w:fldCharType="end"/>
            </w:r>
          </w:hyperlink>
        </w:p>
        <w:p w:rsidR="003F6A9A" w:rsidRPr="003F6A9A" w:rsidRDefault="003F6A9A">
          <w:pPr>
            <w:pStyle w:val="Sommario1"/>
            <w:rPr>
              <w:rFonts w:eastAsiaTheme="minorEastAsia"/>
              <w:lang w:val="it-IT" w:eastAsia="it-IT"/>
            </w:rPr>
          </w:pPr>
          <w:hyperlink w:anchor="_Toc150290167" w:history="1">
            <w:r w:rsidRPr="003F6A9A">
              <w:rPr>
                <w:rStyle w:val="Collegamentoipertestuale"/>
              </w:rPr>
              <w:t>Bibliography/Conclusion</w:t>
            </w:r>
            <w:r w:rsidRPr="003F6A9A">
              <w:rPr>
                <w:webHidden/>
              </w:rPr>
              <w:tab/>
            </w:r>
            <w:r w:rsidRPr="003F6A9A">
              <w:rPr>
                <w:webHidden/>
              </w:rPr>
              <w:fldChar w:fldCharType="begin"/>
            </w:r>
            <w:r w:rsidRPr="003F6A9A">
              <w:rPr>
                <w:webHidden/>
              </w:rPr>
              <w:instrText xml:space="preserve"> PAGEREF _Toc150290167 \h </w:instrText>
            </w:r>
            <w:r w:rsidRPr="003F6A9A">
              <w:rPr>
                <w:webHidden/>
              </w:rPr>
            </w:r>
            <w:r w:rsidRPr="003F6A9A">
              <w:rPr>
                <w:webHidden/>
              </w:rPr>
              <w:fldChar w:fldCharType="separate"/>
            </w:r>
            <w:r w:rsidRPr="003F6A9A">
              <w:rPr>
                <w:webHidden/>
              </w:rPr>
              <w:t>40</w:t>
            </w:r>
            <w:r w:rsidRPr="003F6A9A">
              <w:rPr>
                <w:webHidden/>
              </w:rPr>
              <w:fldChar w:fldCharType="end"/>
            </w:r>
          </w:hyperlink>
        </w:p>
        <w:p w:rsidR="003F6A9A" w:rsidRPr="003F6A9A" w:rsidRDefault="003F6A9A">
          <w:pPr>
            <w:pStyle w:val="Sommario1"/>
            <w:rPr>
              <w:rFonts w:eastAsiaTheme="minorEastAsia"/>
              <w:lang w:val="it-IT" w:eastAsia="it-IT"/>
            </w:rPr>
          </w:pPr>
          <w:hyperlink w:anchor="_Toc150290168" w:history="1">
            <w:r w:rsidRPr="003F6A9A">
              <w:rPr>
                <w:rStyle w:val="Collegamentoipertestuale"/>
              </w:rPr>
              <w:t>Digester from MBGC (source) :</w:t>
            </w:r>
            <w:r w:rsidRPr="003F6A9A">
              <w:rPr>
                <w:webHidden/>
              </w:rPr>
              <w:tab/>
            </w:r>
            <w:r w:rsidRPr="003F6A9A">
              <w:rPr>
                <w:webHidden/>
              </w:rPr>
              <w:fldChar w:fldCharType="begin"/>
            </w:r>
            <w:r w:rsidRPr="003F6A9A">
              <w:rPr>
                <w:webHidden/>
              </w:rPr>
              <w:instrText xml:space="preserve"> PAGEREF _Toc150290168 \h </w:instrText>
            </w:r>
            <w:r w:rsidRPr="003F6A9A">
              <w:rPr>
                <w:webHidden/>
              </w:rPr>
            </w:r>
            <w:r w:rsidRPr="003F6A9A">
              <w:rPr>
                <w:webHidden/>
              </w:rPr>
              <w:fldChar w:fldCharType="separate"/>
            </w:r>
            <w:r w:rsidRPr="003F6A9A">
              <w:rPr>
                <w:webHidden/>
              </w:rPr>
              <w:t>41</w:t>
            </w:r>
            <w:r w:rsidRPr="003F6A9A">
              <w:rPr>
                <w:webHidden/>
              </w:rPr>
              <w:fldChar w:fldCharType="end"/>
            </w:r>
          </w:hyperlink>
        </w:p>
        <w:p w:rsidR="003F6A9A" w:rsidRPr="003F6A9A" w:rsidRDefault="003F6A9A">
          <w:pPr>
            <w:pStyle w:val="Sommario1"/>
            <w:rPr>
              <w:rFonts w:eastAsiaTheme="minorEastAsia"/>
              <w:lang w:val="it-IT" w:eastAsia="it-IT"/>
            </w:rPr>
          </w:pPr>
          <w:hyperlink w:anchor="_Toc150290169" w:history="1">
            <w:r w:rsidRPr="003F6A9A">
              <w:rPr>
                <w:rStyle w:val="Collegamentoipertestuale"/>
              </w:rPr>
              <w:t>Summary – Applications (to SDGs)</w:t>
            </w:r>
            <w:r w:rsidRPr="003F6A9A">
              <w:rPr>
                <w:webHidden/>
              </w:rPr>
              <w:tab/>
            </w:r>
            <w:r w:rsidRPr="003F6A9A">
              <w:rPr>
                <w:webHidden/>
              </w:rPr>
              <w:fldChar w:fldCharType="begin"/>
            </w:r>
            <w:r w:rsidRPr="003F6A9A">
              <w:rPr>
                <w:webHidden/>
              </w:rPr>
              <w:instrText xml:space="preserve"> PAGEREF _Toc150290169 \h </w:instrText>
            </w:r>
            <w:r w:rsidRPr="003F6A9A">
              <w:rPr>
                <w:webHidden/>
              </w:rPr>
            </w:r>
            <w:r w:rsidRPr="003F6A9A">
              <w:rPr>
                <w:webHidden/>
              </w:rPr>
              <w:fldChar w:fldCharType="separate"/>
            </w:r>
            <w:r w:rsidRPr="003F6A9A">
              <w:rPr>
                <w:webHidden/>
              </w:rPr>
              <w:t>43</w:t>
            </w:r>
            <w:r w:rsidRPr="003F6A9A">
              <w:rPr>
                <w:webHidden/>
              </w:rPr>
              <w:fldChar w:fldCharType="end"/>
            </w:r>
          </w:hyperlink>
        </w:p>
        <w:p w:rsidR="003F6A9A" w:rsidRPr="003F6A9A" w:rsidRDefault="003F6A9A">
          <w:pPr>
            <w:pStyle w:val="Sommario1"/>
            <w:rPr>
              <w:rFonts w:eastAsiaTheme="minorEastAsia"/>
              <w:lang w:val="it-IT" w:eastAsia="it-IT"/>
            </w:rPr>
          </w:pPr>
          <w:hyperlink w:anchor="_Toc150290170" w:history="1">
            <w:r w:rsidRPr="003F6A9A">
              <w:rPr>
                <w:rStyle w:val="Collegamentoipertestuale"/>
              </w:rPr>
              <w:t>IASR  International Application Status Report</w:t>
            </w:r>
            <w:r w:rsidRPr="003F6A9A">
              <w:rPr>
                <w:webHidden/>
              </w:rPr>
              <w:tab/>
            </w:r>
            <w:r w:rsidRPr="003F6A9A">
              <w:rPr>
                <w:webHidden/>
              </w:rPr>
              <w:fldChar w:fldCharType="begin"/>
            </w:r>
            <w:r w:rsidRPr="003F6A9A">
              <w:rPr>
                <w:webHidden/>
              </w:rPr>
              <w:instrText xml:space="preserve"> PAGEREF _Toc150290170 \h </w:instrText>
            </w:r>
            <w:r w:rsidRPr="003F6A9A">
              <w:rPr>
                <w:webHidden/>
              </w:rPr>
            </w:r>
            <w:r w:rsidRPr="003F6A9A">
              <w:rPr>
                <w:webHidden/>
              </w:rPr>
              <w:fldChar w:fldCharType="separate"/>
            </w:r>
            <w:r w:rsidRPr="003F6A9A">
              <w:rPr>
                <w:webHidden/>
              </w:rPr>
              <w:t>49</w:t>
            </w:r>
            <w:r w:rsidRPr="003F6A9A">
              <w:rPr>
                <w:webHidden/>
              </w:rPr>
              <w:fldChar w:fldCharType="end"/>
            </w:r>
          </w:hyperlink>
        </w:p>
        <w:p w:rsidR="00D86830" w:rsidRPr="00E40853" w:rsidRDefault="007C1F2A" w:rsidP="00E40853">
          <w:pPr>
            <w:jc w:val="both"/>
            <w:rPr>
              <w:rFonts w:ascii="Times New Roman" w:hAnsi="Times New Roman" w:cs="Times New Roman"/>
              <w:sz w:val="24"/>
              <w:szCs w:val="24"/>
            </w:rPr>
          </w:pPr>
          <w:r w:rsidRPr="003F6A9A">
            <w:rPr>
              <w:rFonts w:ascii="Times New Roman" w:hAnsi="Times New Roman" w:cs="Times New Roman"/>
              <w:b/>
              <w:sz w:val="24"/>
              <w:szCs w:val="24"/>
            </w:rPr>
            <w:fldChar w:fldCharType="end"/>
          </w:r>
        </w:p>
      </w:sdtContent>
    </w:sdt>
    <w:p w:rsidR="00EA00EF" w:rsidRDefault="00EA00EF">
      <w:pPr>
        <w:rPr>
          <w:rFonts w:ascii="Times New Roman" w:hAnsi="Times New Roman" w:cs="Times New Roman"/>
          <w:sz w:val="24"/>
          <w:szCs w:val="24"/>
        </w:rPr>
      </w:pPr>
      <w:r>
        <w:rPr>
          <w:rFonts w:ascii="Times New Roman" w:hAnsi="Times New Roman" w:cs="Times New Roman"/>
          <w:sz w:val="24"/>
          <w:szCs w:val="24"/>
        </w:rPr>
        <w:br w:type="page"/>
      </w:r>
    </w:p>
    <w:p w:rsidR="00A91EB0" w:rsidRDefault="00A91EB0">
      <w:pPr>
        <w:rPr>
          <w:rFonts w:ascii="Times New Roman" w:eastAsiaTheme="majorEastAsia" w:hAnsi="Times New Roman" w:cstheme="majorBidi"/>
          <w:b/>
          <w:bCs/>
          <w:color w:val="365F91" w:themeColor="accent1" w:themeShade="BF"/>
          <w:sz w:val="28"/>
          <w:szCs w:val="28"/>
        </w:rPr>
      </w:pPr>
      <w:r>
        <w:lastRenderedPageBreak/>
        <w:br w:type="page"/>
      </w:r>
    </w:p>
    <w:p w:rsidR="00581ED7" w:rsidRDefault="00581ED7" w:rsidP="00496742">
      <w:pPr>
        <w:pStyle w:val="Titolo1"/>
      </w:pPr>
      <w:bookmarkStart w:id="1" w:name="_Toc150290163"/>
      <w:r w:rsidRPr="00533AF3">
        <w:lastRenderedPageBreak/>
        <w:t>Index</w:t>
      </w:r>
      <w:r>
        <w:t xml:space="preserve"> </w:t>
      </w:r>
      <w:r w:rsidR="00496742">
        <w:t>1</w:t>
      </w:r>
      <w:bookmarkEnd w:id="1"/>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Visions of Sustainability: Fictional Narratives for a Bangladesh Audience</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Characters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Story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Appeal from JWT Green Patent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Word of encouragement</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Benefits after applying MBGC in Bangladesh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Environmental Impact Assessment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Economic Benefits of adopting MBGC Tech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Cultural Integration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Encouraging Innovation Ecosystems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Capacity Building</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Assessing Effect</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Education and Awareness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Conclusion</w:t>
      </w:r>
    </w:p>
    <w:p w:rsidR="00581ED7" w:rsidRDefault="00581ED7" w:rsidP="00BA7002">
      <w:pPr>
        <w:jc w:val="both"/>
      </w:pPr>
    </w:p>
    <w:p w:rsidR="00BA7002" w:rsidRDefault="00BA7002">
      <w:r>
        <w:br w:type="page"/>
      </w:r>
    </w:p>
    <w:p w:rsidR="00581ED7" w:rsidRPr="00581ED7" w:rsidRDefault="00581ED7" w:rsidP="00BA7002">
      <w:pPr>
        <w:pStyle w:val="Titolo1"/>
        <w:jc w:val="both"/>
        <w:rPr>
          <w:lang w:val="en-US"/>
        </w:rPr>
      </w:pPr>
      <w:bookmarkStart w:id="2" w:name="_Toc150290164"/>
      <w:r w:rsidRPr="00581ED7">
        <w:rPr>
          <w:lang w:val="en-US"/>
        </w:rPr>
        <w:lastRenderedPageBreak/>
        <w:t>Title: "EcoOdyssey: Bangladesh's Green Tomorrow with MBGC Marvels"</w:t>
      </w:r>
      <w:bookmarkEnd w:id="2"/>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Green Horizons: Transforming Bangladesh through Sustainable Innovation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Characters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Amina, the Ingenious Businesswoman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Amina is a young businesswoman who owns a small recycling company. She is from a busy metropolitan neighbourhood in Dhaka. She thinks trash has the potential to be an extremely useful resource.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 views every object that is thrown away as an opportunity to build something new. Those around her are inspired by her inventive spirit and tenacity.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Urban Farmer, Raju</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Raju, a Bangladeshi farmer from a small community, uses sustainable farming methods. His goal is to demonstrate that agriculture can thrive without negatively impacting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Viewpoint: Raju thinks that profitable and sustainable agriculture are both achievable. Farmers in the area get interested in his tactics.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Maya the Environmentally Aware Student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Maya, a Chittagong-based high school student, is an enthusiastic environmental conservationist. She is spearheading several ecological efforts at her school through the eco-club.</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 envisions a more environmentally conscious Bangladesh where people work together to preserve the environment. Her deeds encourage her peers to take more environmental awareness.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Sceptical Landlord, Mr. Khan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In a Dhaka neighbourhood, Mr. Khan owns rental homes. He is dubious about implementing sustainable practises because he fears they will be expensive and unworkable.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Mr. Khan stands for the difficulties in persuading certain stakeholders of the advantages of sustainability. His path entails a change in perspective.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government official, Farida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Background: Farida is a devoted government employee who works for the Environment Ministry. She is committed to drafting laws that support environmentally friendly behaviour across the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In Farida's Bangladesh, sustainable development is actively encouraged by policy. Bureaucratic obstacles stand in the way of her efforts, but she doesn't waver.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Kamal, the Astute Technocrat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Based in Dhaka, Kamal is a young engineer creating cutting-edge environmentally sustainable solutions. He thinks technology has the ability to promote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Viewpoint: Kamal is determined to use cutting-edge inventions to completely transform Bangladesh's approach to solving environmental problems.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community organizer, Fatima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Context: Fatima, a village leader in a coastal community, is battling the consequences of climate change. She promotes sustainable alternatives and plans workshops on resilient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Viewpoint: In light of the issues associated with climate change, Fatima's experiences underscore the critical necessity for community-driven initiatives.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Ali, the Supporter of Renewable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Background: Ali is an enthusiastic supporter of renewable energy alternatives and teaches at a college in Rajshahi. He informs his pupils about the possibilities presented by renewable energy 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Perspective: By making renewable energy the standard, Ali hopes to lessen Bangladesh's reliance on conventional, environmentally damaging forms of electricity.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Story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city skyline was visible to visionary entrepreneur Amina as she stood in the busy centre of Dhaka. Gigantic towers embellished with tumbling vertical gardens created an amazing scene against the dawn sky. Amina had never imagined how much her recycling business had developed. Now every thing that was thrown away had the possibility of something new. She turned garbage into treasure by being creative and inspiring others around her.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Raju, the urban farmer, stood amid his verdant, sustainable crops in a little coastal community. He was aware that agriculture might flourish without endangering the </w:t>
      </w:r>
      <w:r w:rsidRPr="00581ED7">
        <w:rPr>
          <w:rFonts w:ascii="Times New Roman" w:hAnsi="Times New Roman" w:cs="Times New Roman"/>
          <w:sz w:val="24"/>
          <w:szCs w:val="24"/>
          <w:lang w:val="en-US"/>
        </w:rPr>
        <w:lastRenderedPageBreak/>
        <w:t>ecosystem. Raju painted the surrounding farms with a tapestry of green by encouraging them to adopt sustainable practises through his creative skills.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 the passionate environmentalist, was the leader of her school's eco-club in the historic city of Chittagong. Her vision was a Bangladesh where communities united to protect the environment. Maya's passion rippled through her peers, igniting a wave of environmental awareness that washed over the city, leaving behind a legacy of green transformations.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committed government employee, Farida, made her way through the maze of bureaucracy with her resolve and a desk full of colourful potted plants. She promoted ecological activities and pushed for laws that gave sustainability first priority. Farida understood that real transformation meant modifying the system's fundamental components.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clever technocrat Kamal toiled diligently in his workshop, where creativity and environment merged. The exchange of ideas and discussions demonstrated how technology and the environment work well together. Kamal thought that Bangladesh's environmental situation might be drastically changed with the use of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Community activist Fatima struggled against climate change's unrelenting consequences in the seaside resort. She organised her neighbourhood, encouraging eco-friendly behaviours and holding resilience-focused courses. Fatima's village stood as a beacon of hope, demonstrating the power of community-driven initiatives in the face of adversity.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Ali, the proponent of renewable energy, enlightened receptive minds about the limitless possibilities of renewable energy sources in Rajshahi. His university's campus served as a living example of how renewable energy may be integrated and provided hope for a more environmentally friendly future. He hoped that Bangladesh's dependency on traditional, environmentally damaging energy sources would be lessened through Ali's lectures.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unconvinced landlord, Mr. Khan, set out to change his rental houses in Dhaka. He persisted despite his early reservations because he was committed to creating a new benchmark for sustainable living. His refurbished buildings shone with energy-efficient technology and solar panels, demonstrating that sustainability could be profitable as well as practical.</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As the stories of Amina, Raju, Maya, Mr. Khan, Farida, Kamal, Fatima, and Ali intertwined, Bangladesh </w:t>
      </w:r>
      <w:r w:rsidRPr="00581ED7">
        <w:rPr>
          <w:rFonts w:ascii="Times New Roman" w:hAnsi="Times New Roman" w:cs="Times New Roman"/>
          <w:sz w:val="24"/>
          <w:szCs w:val="24"/>
          <w:lang w:val="en-US"/>
        </w:rPr>
        <w:lastRenderedPageBreak/>
        <w:t>blossomed into a model of sustainable urban development. Their collective efforts shattered barriers, paving the way for a greener, more inclusive nation.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which had previously faced many difficulties, is today a shining example of the strength of teamwork and steadfast commitment to sustainability. The change was seen from the villages along the coast to the skyline of Dhaka. Vertical garden-adorned towers rose into the sky, while solar panels gleamed in the sunlight, supplying electricity to nearby residences and businesses.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Along tree-lined boulevards, electric buses and rickshaws buzzed, signifying a shift in transport towards more environmentally friendly options. The crisp, flowery aroma of springtime in the air was a witness to the city's revitalised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Amina's recycling initiatives have revitalised communities around the country by reducing garbage and generating jobs. Raju's environmentally friendly agricultural practises brought agriculture back to life and encouraged other villages to do the same.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Maya's tree-planting campaign changed the environment around her school and turned it into a haven for animals as well as kids. Mr Khan's eco-friendly renovations raised the </w:t>
      </w:r>
      <w:r w:rsidRPr="00581ED7">
        <w:rPr>
          <w:rFonts w:ascii="Times New Roman" w:hAnsi="Times New Roman" w:cs="Times New Roman"/>
          <w:sz w:val="24"/>
          <w:szCs w:val="24"/>
          <w:lang w:val="en-US"/>
        </w:rPr>
        <w:lastRenderedPageBreak/>
        <w:t>bar for housing and demonstrated that sustainable design could be profitable and effective.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Because of Farida's efforts, green policies were put into place, guaranteeing that government initiatives would always prioritize sustainability. Due to Kamal's creative solutions, he was able to draw partners and financiers who were willing to fund his endeavours.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With the success of their renewable energy initiative, Ali and Raju were able to provide their communities effective organic waste management as well as sustainable energy alternatives. Their biogas plants served as an organic waste management option and a symbol of self-sufficiency.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Working together to create a greener Bangladesh, Amina, Raju, Maya, Mr. Khan, Farida, Kamal, Fatima, and Ali established an everlasting friendship. Their varied viewpoints and unwavering resolve served as a catalyst for change. They took on obstacles head-on, assured of their combined might.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Their accomplishments served as a tribute to the strength of self-initiative and teamwork. Their tales reverberated across the terrain, irrevocably changing Bangladesh's course. Their legacy acted as a ray of hope, motivating </w:t>
      </w:r>
      <w:r w:rsidRPr="00581ED7">
        <w:rPr>
          <w:rFonts w:ascii="Times New Roman" w:hAnsi="Times New Roman" w:cs="Times New Roman"/>
          <w:sz w:val="24"/>
          <w:szCs w:val="24"/>
          <w:lang w:val="en-US"/>
        </w:rPr>
        <w:lastRenderedPageBreak/>
        <w:t>succeeding generations to take up the cause of a more peaceful and sustainable society.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has emerged as a worldwide model, proving that sustainable urban development is an actual possibility rather than merely an ideal. As a country, it was known for embracing environmental care and leaving a strong and hopeful legacy.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Bangladesh of today is proof of the amazing force of group effort and steadfast commitment to sustainability. The once-bustling metropolis of Dhaka and the tranquil coastline towns have experienced a stunning metamorphosis and are now models of environmentally aware living.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skyline of Dhaka is now graced with skyscrapers that have been fitted with vertical gardens, a striking reminder of how nature has blended so well with modern life. Rooftop solar panels sparkle, harvesting clean, renewable energy, and once-polluted waterways are now brimming with a wide variety of aquatic life.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 gentle buzz of electric buses and rickshaws can be heard when strolling down boulevards surrounded with trees, a sign of the movement towards more </w:t>
      </w:r>
      <w:r w:rsidRPr="00581ED7">
        <w:rPr>
          <w:rFonts w:ascii="Times New Roman" w:hAnsi="Times New Roman" w:cs="Times New Roman"/>
          <w:sz w:val="24"/>
          <w:szCs w:val="24"/>
          <w:lang w:val="en-US"/>
        </w:rPr>
        <w:lastRenderedPageBreak/>
        <w:t>environmentally friendly modes of transportation. The city is filled with the aroma of blossoming flowers and the air is notably clearer.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Amina's recycling initiatives have not only decreased garbage but also given her town new life by producing jobs. In addition to raising agricultural production, Raju's sustainable farming methods have encouraged other villages to follow suit.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Maya's tree-planting initiative has improved the surroundings of her school and established a wildlife sanctuary. Mr. Khan's environmentally friendly renovations not only consumed less energy but also established a standard for sustainable housing practises.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Because of Farida's persistent work, green policies have been put into place, guaranteeing that government programs prioritize sustainability. In addition to revolutionizing environmental solutions, Kamal's innovative ideas have drawn funding to help him expand his ventures.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addition to supplying clean electricity, Ali and Raju's renewable energy project has given communities the confidence to manage their own energy requirements. Their biogas plants are examples of self-sufficiency as well as a solution for organic waste.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Bangladesh is now more prosperous, resilient, and inclusive than it has ever been because to our combined efforts. Every region of the country has felt the ripple impact of their deeds, which have motivated people to take charge of their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Amina, Raju, Maya, Mr. Khan, Farida, Kamal, Fatima, and Ali's accomplishments are proof of the power of individual initiative and group determination. Their tales reverberate throughout the landscape, permanently altering Bangladesh. Their legacy acts as a ray of hope, encouraging coming generations to carry on the quest for a more peaceful and sustainable future. Their persistent efforts have resulted in a more environmentally friendly Bangladesh that is now a reality, constructed brick by brick and leaf by leaf with the steadfast support of people who dared to hope for a brighter tomorrow.</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currently seen as a worldwide model, proving that sustainable urban development is a practical reality as well as an aspiration. It's a country that has embraced environmental management, ensuring a resilient and promising legacy for future generations.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Appeal from JWT Green Patent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are overjoyed to follow Amina, Raju, Maya, Mr. Khan, Farida, Kamal, Fatima, and Ali on their incredible </w:t>
      </w:r>
      <w:r w:rsidRPr="00581ED7">
        <w:rPr>
          <w:rFonts w:ascii="Times New Roman" w:hAnsi="Times New Roman" w:cs="Times New Roman"/>
          <w:sz w:val="24"/>
          <w:szCs w:val="24"/>
          <w:lang w:val="en-US"/>
        </w:rPr>
        <w:lastRenderedPageBreak/>
        <w:t>path of relentlessly establishing a sustainable Bangladesh. Their tales eloquently paint a picture of a time when sustainable living is a reality rather than simply a pipe dream.</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At JWT Green Patent, we think it's important to make dreams come true. Our inventions are made with the sole goal of advancing sustainable urban development. Our patents are designed to have a significant influence, covering anything from innovative waste-to-energy technology to renewable energy options.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imagine towers full of vibrant, vertical gardens in the middle of Dhaka. Solar panels shine as they gather solar energy to power buildings and businesses. Rivers that were once ignored are now teeming with life. These are not merely imagined scenarios; rather, they represent the future that we are creating together.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are profoundly touched by the unwavering efforts of Amina, Raju, Maya, Mr. Khan, Farida, Kamal, Fatima, and Ali. Their experiences serve as a testament to how sustainable practises can change lives. We are proud to support them by offering the technology foundation for their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are dedicated to being partners in development through JWT Green Patent, not simply in fictional projects </w:t>
      </w:r>
      <w:r w:rsidRPr="00581ED7">
        <w:rPr>
          <w:rFonts w:ascii="Times New Roman" w:hAnsi="Times New Roman" w:cs="Times New Roman"/>
          <w:sz w:val="24"/>
          <w:szCs w:val="24"/>
          <w:lang w:val="en-US"/>
        </w:rPr>
        <w:lastRenderedPageBreak/>
        <w:t>but also in actual undertakings. By working together, we can make dreams come true and create a successful, diverse, and sustainable Bangladesh.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u w:val="single"/>
          <w:lang w:val="en-US"/>
        </w:rPr>
        <w:t>Word of Encouragement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Let us keep in mind that every effort, no matter how tiny, adds up to a bigger, positive change as we set out on this path to create a more sustainable Bangladesh. Every one of us has the ability to create a more ecologically conscious world, and when we work together, we can change not only our towns but the entire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Imagine Bangladesh as a place where accountability and creativity coexist and where cutting-edge technology blends seamlessly with the environment. Imagine a time when access to clean water is unimpeded, communities flourish, and prosperity is closely linked to sustainability. This is not some far-off dream; it is here, just waiting to be realized.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Together, as individuals and as a community, let us take up the cause of a more environmentally conscious and sustainable Bangladesh. We can conquer every obstacle in our path with our unwavering resolution and united determination. Every action we perform and decision we make has an impact that extends far beyond ourselves and determines the legacy we leave for next generations.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We can create a route for a better, more sustainable tomorrow if we work together. Let this be the start of a new age in which Bangladesh serves as a global inspiration and source of hope. By working together, we can create a future in which harmony between nature and mankind is a reality rather than simply an ideal.</w:t>
      </w:r>
    </w:p>
    <w:p w:rsidR="00581ED7" w:rsidRPr="00581ED7" w:rsidRDefault="00581ED7" w:rsidP="00BA7002">
      <w:pPr>
        <w:jc w:val="both"/>
        <w:rPr>
          <w:rFonts w:ascii="Times New Roman" w:hAnsi="Times New Roman" w:cs="Times New Roman"/>
          <w:sz w:val="24"/>
          <w:szCs w:val="24"/>
          <w:lang w:val="en-US"/>
        </w:rPr>
      </w:pPr>
    </w:p>
    <w:p w:rsidR="00635369" w:rsidRDefault="0063536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81ED7" w:rsidRPr="00581ED7" w:rsidRDefault="00581ED7" w:rsidP="00635369">
      <w:pPr>
        <w:pStyle w:val="Titolo1"/>
        <w:rPr>
          <w:lang w:val="en-US"/>
        </w:rPr>
      </w:pPr>
      <w:bookmarkStart w:id="3" w:name="_Toc150290165"/>
      <w:r w:rsidRPr="00581ED7">
        <w:rPr>
          <w:lang w:val="en-US"/>
        </w:rPr>
        <w:lastRenderedPageBreak/>
        <w:t>Benefits after Applying MBGC in Bangladesh</w:t>
      </w:r>
      <w:bookmarkEnd w:id="3"/>
    </w:p>
    <w:p w:rsidR="00635369" w:rsidRDefault="00635369"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Assessment of Environmental Impact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Mini Bio Gas Continuous (MBGC) implementation in Bangladesh has the potential to have a significant positive environmental impact and is in line with SDG 11.1 smoothly. Here, we list the major advantages: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Diminution of Greenhouse Gas Emissions and Carbon Footprint: Using MBGC technology, bioenergy may be efficiently extracted from organic waste. This procedure drastically lowers the amount of methane—a powerful greenhouse gas—that landfills would otherwise release into the atmosphere. A key component of MBGC's contribution to climate change mitigation is the removal of organic waste from these locations and its conversion into biogas. The goal of sustainable, safe, and affordable housing in SDG 11.1 is directly aided by this decrease in greenhouse gas emissions.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Effective Utilization of Organic Waste for the Production of Bioenergy: MBGC makes the best use of organic waste that would otherwise be dumped in landfills. This garbage is effectively converted into biogas, which reduces the amount of waste that ends up in landfills while also acting as a renewable energy source. This results in less garbage </w:t>
      </w:r>
      <w:r w:rsidRPr="00581ED7">
        <w:rPr>
          <w:rFonts w:ascii="Times New Roman" w:hAnsi="Times New Roman" w:cs="Times New Roman"/>
          <w:sz w:val="24"/>
          <w:szCs w:val="24"/>
          <w:lang w:val="en-US"/>
        </w:rPr>
        <w:lastRenderedPageBreak/>
        <w:t>going to landfills and less of an adverse effect on the environment, such as contaminated water and soil. This kind of economical use of resources is ideal for achieving SDG 11.1's focus on affordable and sustainable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Preserving Natural Resources via Sustainable Production of Bioenergy: The energy landscape becomes more sustainable as MBGC is implemented. It reduces reliance on conventional fossil fuels by generating biogas from organic waste. Thus, limited natural resources like coal, oil, and natural gas are preserved. Achieving SDG 11.1 as well as other general environmental goals for a more sustainable and balanced ecosystem requires the sustainable generation of bioenergy.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Bangladesh's adoption of MBGC offers a comprehensive strategy for resolving environmental issues, especially in light of SDG 11.1's emphasis on sustainable urban development. MBGC is essential to building a more resilient and ecologically conscious future by reducing greenhouse gas emissions, conserving natural resources, and using organic waste efficiently. This invention is evidence of the power of technology to promote sustainable development objectives and have a good environmental impact.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Economic Benefits of Adopting MBGC Technology</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Various Revenue Sources: MBGC technology provides a variety of income opportunities. Communities can access a profitable market for renewable energy sources by producing and selling bioenergy. Furthermore, the organic fertilizers generated as a byproduct offer yet another way to make money. The economic opportunities linked with MBGC are further expanded by the possibility of other lucrative by-products.</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Saving Money and Cutting Waste: Adopting MBGC results in considerable financial savings. Communities may save a lot of money on trash management charges. Municipalities can minimize the environmental impact of garbage accumulation and save money on disposal fees by redirecting organic waste away from landfills. Lower energy prices are also a result of the reduced dependency on traditional energy sources for the production of power.</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 xml:space="preserve">Market Potential and Integration Across Industries: The MBGC technology has the ability to effortlessly merge into current markets and sectors. For instance, the bioenergy generated can be applied to a number of industries, such as manufacturing, transportation, and agriculture. By generating new commercial and industry prospects, </w:t>
      </w:r>
      <w:r w:rsidRPr="00640522">
        <w:rPr>
          <w:rFonts w:ascii="Times New Roman" w:hAnsi="Times New Roman" w:cs="Times New Roman"/>
          <w:sz w:val="24"/>
          <w:szCs w:val="24"/>
        </w:rPr>
        <w:lastRenderedPageBreak/>
        <w:t>this integration not only promotes sustainable practises but also boosts economic growth.</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Growth in the Economy and Employment: Local communities benefit from the creation of jobs brought about by the construction and operation of MBGC installations. These facilities require both expert and unskilled labour for their development, upkeep, and operation. The increase in work prospects not only helps local residents maintain their standard of living but also boosts the economy as a whole.</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Observance and Reduction of Risk: By using MBGC, communities may comply with environmental requirements and reduce the dangers that come with using conventional energy production and waste management techniques. Communities can lessen their risk of regulatory fines and environmental liabilities by switching to a more eco-friendly and sustainable approach.</w:t>
      </w:r>
    </w:p>
    <w:p w:rsidR="00581ED7" w:rsidRPr="00640522" w:rsidRDefault="00581ED7" w:rsidP="00BA7002">
      <w:pPr>
        <w:pStyle w:val="Paragrafoelenco"/>
        <w:numPr>
          <w:ilvl w:val="0"/>
          <w:numId w:val="2"/>
        </w:numPr>
        <w:jc w:val="both"/>
        <w:rPr>
          <w:rFonts w:ascii="Times New Roman" w:hAnsi="Times New Roman" w:cs="Times New Roman"/>
          <w:sz w:val="24"/>
          <w:szCs w:val="24"/>
        </w:rPr>
      </w:pPr>
      <w:r w:rsidRPr="00640522">
        <w:rPr>
          <w:rFonts w:ascii="Times New Roman" w:hAnsi="Times New Roman" w:cs="Times New Roman"/>
          <w:sz w:val="24"/>
          <w:szCs w:val="24"/>
        </w:rPr>
        <w:t>Spending on R&amp;D (research and development): Investment in R&amp;D is encouraged by the establishment of MBGC. This encourages technological development and possible breakthroughs in the production of sustainable bioenergy. It sets off a chain reaction that propels advancements in other industries as well as waste-</w:t>
      </w:r>
      <w:r w:rsidRPr="00640522">
        <w:rPr>
          <w:rFonts w:ascii="Times New Roman" w:hAnsi="Times New Roman" w:cs="Times New Roman"/>
          <w:sz w:val="24"/>
          <w:szCs w:val="24"/>
        </w:rPr>
        <w:lastRenderedPageBreak/>
        <w:t>to-energy technology, so bolstering economic growth.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implementing MBGC technology has significant and varied financial advantages. MBGC is a revolutionary force that has far-reaching positive economic effects. It does this by generating a variety of revenue streams, cutting expenses, promoting economic growth, and encouraging innovation. In addition to solving environmental issues, this technology offers towns and areas that embrace its potential real economic benefits.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Cultural Integration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following are the salient features that demonstrate the alignment between the acceptance of MBGC and the cultural values and practises of Bangladesh: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Gratitude to Nature: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 strong reverence for the natural world is fundamental to Bangladeshi 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emphasis that MBGC places on producing sustainable energy from organic waste is a perfect fit with this cultural value.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It utilizes natural processes, which is in line with Bangladesh's custom of balancing environmental needs.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Putting a Focus on Community Well-being: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gives communal and collective wellbeing a lot of weight.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enabling communities to handle their energy demands jointly, MBGC promotes a sense of shared accountability and ownership.</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Resourcefulness and frugalness: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Bangladeshi culture places a high importance on ingenuity and frugal living, reducing waste and optimizing the use of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contributes to this cultural mindset by converting organic waste into useful bioenergy.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Entire "Jugaad" spirit</w:t>
      </w:r>
      <w:r w:rsidRPr="00581ED7">
        <w:rPr>
          <w:rFonts w:ascii="Times New Roman" w:hAnsi="Times New Roman" w:cs="Times New Roman"/>
          <w:sz w:val="24"/>
          <w:szCs w:val="24"/>
          <w:lang w:val="en-US"/>
        </w:rPr>
        <w: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"Jugaad" means resource-constrained inventive improvisation, a widely accepted idea in Bangladeshi 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embodies this spirit of useful innovation by offering an economical and ecological answer to energy needs.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Legacy and Wisdom Transmission: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Bangladesh cherishes the generational transfer of knowledge and wisdom.</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MBGC shows future generations the advantages of sustainable practises and fosters a sense of responsibility towards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adoption of MBGC in Bangladesh melds smoothly with the nation's cultural values of respect for nature, a sense of responsibility for the welfare of the society, thrift, innovation, and the transmission of knowledge. In line with SDG 11.1 it represents Bangladesh's identity and provides a route to a more sustainable future.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Encouraging Innovation Ecosystems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following are the main ideas outlining how MBGC adoption might encourage innovation in associated industries and cultivate an environment conducive to the creation of new technologies in the sustainable energy sector: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Knowledge sharing and technology transfer:</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It is necessary to transmit modern bioenergy technologies and expertise in order to adopt MBGC. This conversation encourages creativity and learning.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Research Collaboration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Collaboration amongst a variety of stakeholders, such as scientists, engineers, and environmental specialists, is frequently necessary for MBGC initiatives.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cooperative strategy promotes knowledge and idea exchange, which sparks innovation in sustainable energy solutions.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need in the market for auxiliary technologies: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market is driven by the increasing use of MBGC to demand supplementary services and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encourages the creation of supporting technologies, like sophisticated biogas purification methods and effective waste collection systems.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SMEs and Startups' Incubation: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Startups and small to medium-sized businesses (SMEs) can specialize in fields including waste management, renewable energy, and biogas technologies within the MBGC industry.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Waste-to-Energy Conversion Innovation: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Research and development on waste-to-energy conversion technology is aided and abetted by MBGC.</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This covers improvements in biogas production efficiency as well as the creation of fresh approaches to turning organic waste into electricity.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Changing Legal Structures: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As MBGC becomes more popular, standards and regulatory frameworks change to make room for this cutting-edge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current regulatory framework fosters additional investigation and creativity within the realm of renewable energy.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Building Capabilities and Developing Skills: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implementation of MBGC requires the education of a workforce with specialized knowledge in waste management and renewable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By increasing capacity, a talent pool prepared to spearhead additional innovation in the industry is created.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Inter-Sectoral Collaborations: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MBGC has connections to a number of industries, such as renewable energy, wastewater treatment, and agriculture.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Cross-sectoral collaborations and innovations are sparked by this intersection, resulting in comprehensive solutions for sustainable urban development.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the implementation of MBGC fosters innovation in adjacent businesses in addition to meeting the urgent needs for waste management and energy. In line with SDG 11.1, this vibrant innovation ecosystem fosters the growth of innovative technologies and approaches in the field of sustainable energy.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Capacity Building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Building capacity becomes an essential component in the quest for sustainable urban development. It includes a number of strategic programs intended to provide professionals, business owners, and local communities with the information, abilities, and tools required to actively participate in the installation and maintenance of Mini Bio Gas Continuous (MBGC) systems. This is not only an additional factor; rather, it is a necessary one in order to fulfill the goals stated in SDG 11.1.</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 xml:space="preserve">Empowering Communities: By giving local communities the knowledge and skills required to comprehend, use, and maintain MBGC systems, </w:t>
      </w:r>
      <w:r w:rsidRPr="00640522">
        <w:rPr>
          <w:rFonts w:ascii="Times New Roman" w:hAnsi="Times New Roman" w:cs="Times New Roman"/>
          <w:sz w:val="24"/>
          <w:szCs w:val="24"/>
        </w:rPr>
        <w:lastRenderedPageBreak/>
        <w:t>capacity building empowers them. This guarantees that communities adopt the technology and cultivates a sense of accountability for its triumph.</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Entrepreneurship Opportunities: Capacity building makes it possible for entrepreneurs to launch and run MBGC-related firms by providing them with specialised training and assistance. This boosts the local economy by producing jobs and revenue in addition to opening up economic prospects.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Technical Proficiency: It is essential to provide experts with technical knowledge of MBGC technology. This includes understanding safety procedures and receiving training in installation, operation, and maintenance. This guarantees the safe and efficient implementation and operation of systems.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Innovation Promotion: Projects aimed at increasing capacity create an atmosphere that is favorable to innovation. Equipped with information, professionals and entrepreneurs are more likely to come up with original ideas and put them into practise, improving MBGC systems and promoting ongoing progress.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 xml:space="preserve">Respect for Sustainable Practises: Building capacity fosters a profound comprehension of sustainable practises. In line with SDG 11.1's </w:t>
      </w:r>
      <w:r w:rsidRPr="00640522">
        <w:rPr>
          <w:rFonts w:ascii="Times New Roman" w:hAnsi="Times New Roman" w:cs="Times New Roman"/>
          <w:sz w:val="24"/>
          <w:szCs w:val="24"/>
        </w:rPr>
        <w:lastRenderedPageBreak/>
        <w:t>objectives, this encompasses waste management, energy generation, and environmental stewardship, supporting an integrated approach to urban development.</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Reducing Technological Barriers: Despite its potential, MBGC technology may encounter initial resistance because of its unfamiliarity. In order to reduce adoption obstacles, capacity building demystifies the technology, clears up common misconceptions, and highlights its advantages.</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Encouraging Long-Term Sustainability: Long-term work is required for sustainable urban development. SDG 11.1 will continue to be successful because capacity building guarantees that there is a trained labor force and informed community members capable of maintaining MBGC systems over time.</w:t>
      </w:r>
    </w:p>
    <w:p w:rsidR="00581ED7" w:rsidRPr="00640522" w:rsidRDefault="00581ED7" w:rsidP="00BA7002">
      <w:pPr>
        <w:pStyle w:val="Paragrafoelenco"/>
        <w:numPr>
          <w:ilvl w:val="0"/>
          <w:numId w:val="3"/>
        </w:numPr>
        <w:jc w:val="both"/>
        <w:rPr>
          <w:rFonts w:ascii="Times New Roman" w:hAnsi="Times New Roman" w:cs="Times New Roman"/>
          <w:sz w:val="24"/>
          <w:szCs w:val="24"/>
        </w:rPr>
      </w:pPr>
      <w:r w:rsidRPr="00640522">
        <w:rPr>
          <w:rFonts w:ascii="Times New Roman" w:hAnsi="Times New Roman" w:cs="Times New Roman"/>
          <w:sz w:val="24"/>
          <w:szCs w:val="24"/>
        </w:rPr>
        <w:t>Active Participation and involvement from Communities: Capacity building promotes community involvement and active participation. This openness encourages a sense of shared accountability, establishing a favorable environment for the implementation of the MBGC.</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conclusion, the foundation for both Bangladesh's achievement of SDG 11.1 and the effective application of MBGC technology is capacity building. We enable people and communities to actively participate in the creation of a more resilient and sustainable urban future by making investments in education, training, and support. This strategy not only solves the problems of the present, but it also lays the groundwork for future advancement and creativity.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Assessing Effect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creation of reliable monitoring and evaluation (M&amp;E) methods is crucial in the pursuit of sustainable urban development. These mechanisms act as a compass, directing Mini Bio Gas Continuous (MBGC) initiatives in the direction of SDG 11.1's goals. They provide a methodical and data-driven strategy to monitor development, pinpoint areas that require work, and guarantee the best results. This is why having a robust M&amp;E framework is essential:</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 xml:space="preserve">Evidence-Based Decision Making: M&amp;E gives stakeholders concrete information and proof, empowering them to decide on the implementation of MBGC with knowledge. It guarantees effective </w:t>
      </w:r>
      <w:r w:rsidRPr="00640522">
        <w:rPr>
          <w:rFonts w:ascii="Times New Roman" w:hAnsi="Times New Roman" w:cs="Times New Roman"/>
          <w:sz w:val="24"/>
          <w:szCs w:val="24"/>
        </w:rPr>
        <w:lastRenderedPageBreak/>
        <w:t>resource allocation by enabling course correction based on current information.</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Evaluation of Environmental Impact: MBGC projects' environmental effects can be measured by M&amp;E.</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Optimizing Resource deployment: M&amp;E assists in the efficient deployment of financial, human, and material resources by monitoring resource utilization and project performance. This guarantees that financial investments result in the maximum return on sustainable urban development.</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Feedback and Community Engagement: M&amp;E promotes community involvement by asking stakeholders and locals for their opinions. Communities benefit from this participatory approach, which also guarantees that MBGC programs reflect local interests and requirements.</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Reducing Possible Risks and Challenges: Potential risks and challenges can be found early on with consistent monitoring. By taking a proactive stance, possible setbacks can be mitigated and the long-term viability of MBGC projects is ensured.</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 xml:space="preserve">Transparency and Accountability: Stakeholders in a project are held accountable when a strong M&amp;E framework is in place. It offers an open window </w:t>
      </w:r>
      <w:r w:rsidRPr="00640522">
        <w:rPr>
          <w:rFonts w:ascii="Times New Roman" w:hAnsi="Times New Roman" w:cs="Times New Roman"/>
          <w:sz w:val="24"/>
          <w:szCs w:val="24"/>
        </w:rPr>
        <w:lastRenderedPageBreak/>
        <w:t>into the status of the project, facilitating inspection and guaranteeing that objectives are fulfilled quickly and effectively.</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Encouraging Learning and Knowledge Sharing: M&amp;E acts as a forum for learning, promoting the sharing of creative solutions, best practises, and lessons discovered. This method of sharing knowledge promotes a culture of continual improvement and expedites advancement.</w:t>
      </w:r>
    </w:p>
    <w:p w:rsidR="00581ED7" w:rsidRPr="00640522" w:rsidRDefault="00581ED7" w:rsidP="00BA7002">
      <w:pPr>
        <w:pStyle w:val="Paragrafoelenco"/>
        <w:numPr>
          <w:ilvl w:val="0"/>
          <w:numId w:val="4"/>
        </w:numPr>
        <w:jc w:val="both"/>
        <w:rPr>
          <w:rFonts w:ascii="Times New Roman" w:hAnsi="Times New Roman" w:cs="Times New Roman"/>
          <w:sz w:val="24"/>
          <w:szCs w:val="24"/>
        </w:rPr>
      </w:pPr>
      <w:r w:rsidRPr="00640522">
        <w:rPr>
          <w:rFonts w:ascii="Times New Roman" w:hAnsi="Times New Roman" w:cs="Times New Roman"/>
          <w:sz w:val="24"/>
          <w:szCs w:val="24"/>
        </w:rPr>
        <w:t>Illustrating the Effect on SDG 11.1 The M&amp;E data provides hard proof of how MBGC projects contribute to the achievement of SDG 11.1. It tells a story of development, showing how the objectives of sustainable urban development are being achieved in practise.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MBGC Education and Awareness</w:t>
      </w:r>
    </w:p>
    <w:p w:rsidR="00581ED7" w:rsidRPr="00640522" w:rsidRDefault="00581ED7" w:rsidP="00BA7002">
      <w:pPr>
        <w:jc w:val="both"/>
        <w:rPr>
          <w:rFonts w:ascii="Times New Roman" w:hAnsi="Times New Roman" w:cs="Times New Roman"/>
          <w:sz w:val="24"/>
          <w:szCs w:val="24"/>
        </w:rPr>
      </w:pPr>
      <w:r w:rsidRPr="00581ED7">
        <w:rPr>
          <w:rFonts w:ascii="Times New Roman" w:hAnsi="Times New Roman" w:cs="Times New Roman"/>
          <w:sz w:val="24"/>
          <w:szCs w:val="24"/>
          <w:lang w:val="en-US"/>
        </w:rPr>
        <w:t xml:space="preserve">Building awareness and educating the public are essential to the effective execution of Mini Bio Gas Continuous (MBGC) initiatives. Communities, stakeholders, and decision-makers can understand the importance of MBGC and actively engage in its adoption through the transmission of knowledge. </w:t>
      </w:r>
      <w:r w:rsidRPr="00640522">
        <w:rPr>
          <w:rFonts w:ascii="Times New Roman" w:hAnsi="Times New Roman" w:cs="Times New Roman"/>
          <w:sz w:val="24"/>
          <w:szCs w:val="24"/>
        </w:rPr>
        <w:t>Here's why awareness and education are so important: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Empowering Communities: Education provides people with the information and abilities they need to comprehend, value, and interact with MBGC. Communities that feel empowered take on a greater sense of accountability and ownership, which motivates them to actively engage in sustainable urban development.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Promoting Behavioural Change: Awareness-raising initiatives draw attention to the advantages of MBGC, emphasizing its positive effects on the economy, society, and the environment.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Encouraging the Sharing of Knowledge: Learning experiences, creative solutions, and best practises are all encouraged by education. This speeds up the development of MBGC initiatives by fostering a collaborative atmosphere where communities and stakeholders may benefit from one another's experiences.</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Creating Champions and Advocates: People can become champions and advocates for sustainable urban development by raising their level of knowledge and educating themselves. By actively promoting MBGC within their communities, they may increase the initiatives' impact.</w:t>
      </w:r>
    </w:p>
    <w:p w:rsidR="00581ED7" w:rsidRPr="00640522" w:rsidRDefault="00581ED7" w:rsidP="00BA7002">
      <w:pPr>
        <w:pStyle w:val="Paragrafoelenco"/>
        <w:numPr>
          <w:ilvl w:val="0"/>
          <w:numId w:val="5"/>
        </w:numPr>
        <w:jc w:val="both"/>
        <w:rPr>
          <w:rFonts w:ascii="Times New Roman" w:hAnsi="Times New Roman" w:cs="Times New Roman"/>
          <w:sz w:val="24"/>
          <w:szCs w:val="24"/>
        </w:rPr>
      </w:pPr>
      <w:r w:rsidRPr="00640522">
        <w:rPr>
          <w:rFonts w:ascii="Times New Roman" w:hAnsi="Times New Roman" w:cs="Times New Roman"/>
          <w:sz w:val="24"/>
          <w:szCs w:val="24"/>
        </w:rPr>
        <w:t xml:space="preserve">Alignment with Global Sustainability Goals: Raising awareness of MBGC helps to highlight </w:t>
      </w:r>
      <w:r w:rsidRPr="00640522">
        <w:rPr>
          <w:rFonts w:ascii="Times New Roman" w:hAnsi="Times New Roman" w:cs="Times New Roman"/>
          <w:sz w:val="24"/>
          <w:szCs w:val="24"/>
        </w:rPr>
        <w:lastRenderedPageBreak/>
        <w:t>how it aligns with SDG 11.1 and other global sustainability goals. It serves as an example of how implementing cutting-edge technologies helps create a more resilient, inclusive, and sustainable urban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conclusion, the effective execution of MBGC initiatives depends critically on education and raising public awareness.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Bangladesh's adoption of MBGC technology has the potential to completely transform how people in Bangladesh handle waste and generate electricity. In addition to having a large positive impact on the environment, it also has a slew of economic advantages that are essential to the advancement of the country.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development of many revenue streams is one of the most alluring features. Along with useful byproducts like organic fertilizers, the production and sale of bioenergy creates new economic prospects. In addition to bolstering regional economies, this diversifies sources of income and promotes financial stability.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Furthermore, MBGC has a significant potential for cost savings. Local governments have the potential to cut waste </w:t>
      </w:r>
      <w:r w:rsidRPr="00581ED7">
        <w:rPr>
          <w:rFonts w:ascii="Times New Roman" w:hAnsi="Times New Roman" w:cs="Times New Roman"/>
          <w:sz w:val="24"/>
          <w:szCs w:val="24"/>
          <w:lang w:val="en-US"/>
        </w:rPr>
        <w:lastRenderedPageBreak/>
        <w:t>management costs dramatically while also reducing their dependency on fossil fuels.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way that MBGC has been incorporated into current markets and industries is evidence of its adaptability and potential for economic expansion. It fills a critical gap in a number of industries by offering a dependable and sustainable supply of bioenergy. This integration promotes innovation and competitiveness in addition to guaranteeing company continuity.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Creating jobs is another essential component. MBGC facilities' construction and operation result in job opportunities for workers of all skill levels. </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Moreover, MBGC technology minimizes the dangers connected to waste management and conventional energy production by complying with environmental requirements. In addition to avoiding any fines, this compliance shows a dedication to ethical and environmental practises, which can improve local economies and draw in more funding.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Lastly, there may be long-term returns on the research and development spending that MBGC has encouraged. Beyond waste management, technological developments in sustainable bioenergy generation may have a significant impact and spur growth in allied sectors.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summary, Bangladesh's adoption of MBGC technology is a critical chance for overall development. The nation's development depends on the economic benefits it provides, which include income diversification, cost savings, job creation, industry integration, compliance, and innovation. In addition to being consistent with global sustainability goals, realizing and seizing this potential puts Bangladesh on the road to a more resilient, prosperous, and sustainable future. We implore decision-makers and stakeholders to take advantage of this chance to steer Bangladesh towards a more promising and sustainable future.</w:t>
      </w:r>
    </w:p>
    <w:p w:rsidR="00496742" w:rsidRDefault="00496742">
      <w:pPr>
        <w:rPr>
          <w:lang w:val="en-US"/>
        </w:rPr>
      </w:pPr>
      <w:r>
        <w:rPr>
          <w:lang w:val="en-US"/>
        </w:rPr>
        <w:br w:type="page"/>
      </w:r>
    </w:p>
    <w:p w:rsidR="003F6A9A" w:rsidRDefault="003F6A9A">
      <w:pPr>
        <w:rPr>
          <w:rFonts w:ascii="Times New Roman" w:eastAsia="Times New Roman" w:hAnsi="Times New Roman" w:cs="Times New Roman"/>
          <w:b/>
          <w:bCs/>
          <w:i/>
          <w:iCs/>
          <w:color w:val="FFFF00"/>
          <w:sz w:val="72"/>
          <w:szCs w:val="72"/>
          <w:lang w:val="en-US"/>
        </w:rPr>
      </w:pPr>
      <w:r>
        <w:rPr>
          <w:color w:val="FFFF00"/>
          <w:lang w:val="en-US"/>
        </w:rPr>
        <w:lastRenderedPageBreak/>
        <w:br w:type="page"/>
      </w:r>
    </w:p>
    <w:p w:rsidR="003F6A9A" w:rsidRDefault="003F6A9A">
      <w:pPr>
        <w:rPr>
          <w:rFonts w:ascii="Times New Roman" w:eastAsia="Times New Roman" w:hAnsi="Times New Roman" w:cs="Times New Roman"/>
          <w:b/>
          <w:bCs/>
          <w:i/>
          <w:iCs/>
          <w:color w:val="FFFF00"/>
          <w:sz w:val="72"/>
          <w:szCs w:val="72"/>
          <w:lang w:val="en-US"/>
        </w:rPr>
      </w:pPr>
      <w:r>
        <w:rPr>
          <w:color w:val="FFFF00"/>
          <w:lang w:val="en-US"/>
        </w:rPr>
        <w:lastRenderedPageBreak/>
        <w:br w:type="page"/>
      </w:r>
    </w:p>
    <w:p w:rsidR="00670B98" w:rsidRPr="00E40853" w:rsidRDefault="00670B98" w:rsidP="00E40853">
      <w:pPr>
        <w:pStyle w:val="Heading1"/>
        <w:ind w:left="0"/>
        <w:jc w:val="right"/>
        <w:rPr>
          <w:lang w:val="en-US"/>
        </w:rPr>
      </w:pPr>
      <w:bookmarkStart w:id="4" w:name="_Toc150290166"/>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4"/>
    </w:p>
    <w:p w:rsidR="00670B98" w:rsidRPr="00E40853" w:rsidRDefault="007C1F2A"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7C1F2A"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7C1F2A"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5" w:name="_Toc150290167"/>
      <w:r w:rsidRPr="00E536DE">
        <w:rPr>
          <w:rStyle w:val="rynqvb"/>
          <w:szCs w:val="24"/>
          <w:lang w:val="en-US"/>
        </w:rPr>
        <w:t>Bibliography/Conclusion</w:t>
      </w:r>
      <w:bookmarkEnd w:id="5"/>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6" w:name="_Toc150290168"/>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6"/>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7C1F2A"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7C1F2A"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7C1F2A"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7C1F2A"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7C1F2A"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7" w:name="_Toc150290169"/>
      <w:r w:rsidRPr="00E536DE">
        <w:rPr>
          <w:lang w:val="en-US"/>
        </w:rPr>
        <w:lastRenderedPageBreak/>
        <w:t>Summary – Applications (to SDGs)</w:t>
      </w:r>
      <w:bookmarkEnd w:id="7"/>
    </w:p>
    <w:p w:rsidR="007D5AA6" w:rsidRPr="00074C21" w:rsidRDefault="007D5AA6" w:rsidP="00074C21">
      <w:pPr>
        <w:pStyle w:val="NormaleWeb"/>
        <w:jc w:val="both"/>
        <w:rPr>
          <w:lang w:val="en-US"/>
        </w:rPr>
      </w:pPr>
    </w:p>
    <w:p w:rsidR="00074C21" w:rsidRDefault="007C1F2A"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7C1F2A"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7C1F2A"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7C1F2A"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8" w:name="_Toc150290170"/>
      <w:r w:rsidRPr="00312FFA">
        <w:rPr>
          <w:lang w:val="en-US"/>
        </w:rPr>
        <w:lastRenderedPageBreak/>
        <w:t xml:space="preserve">IASR  </w:t>
      </w:r>
      <w:r w:rsidR="00631909" w:rsidRPr="00312FFA">
        <w:rPr>
          <w:lang w:val="en-US"/>
        </w:rPr>
        <w:t>International Application Status Report</w:t>
      </w:r>
      <w:bookmarkEnd w:id="8"/>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F8C" w:rsidRDefault="00CA4F8C" w:rsidP="00F0731B">
      <w:pPr>
        <w:spacing w:after="0" w:line="240" w:lineRule="auto"/>
      </w:pPr>
      <w:r>
        <w:separator/>
      </w:r>
    </w:p>
  </w:endnote>
  <w:endnote w:type="continuationSeparator" w:id="1">
    <w:p w:rsidR="00CA4F8C" w:rsidRDefault="00CA4F8C"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635369" w:rsidRDefault="007C1F2A">
        <w:pPr>
          <w:pStyle w:val="Pidipagina"/>
          <w:jc w:val="center"/>
        </w:pPr>
        <w:fldSimple w:instr=" PAGE   \* MERGEFORMAT ">
          <w:r w:rsidR="003F6A9A">
            <w:rPr>
              <w:noProof/>
            </w:rPr>
            <w:t>48</w:t>
          </w:r>
        </w:fldSimple>
      </w:p>
    </w:sdtContent>
  </w:sdt>
  <w:p w:rsidR="00635369" w:rsidRDefault="006353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F8C" w:rsidRDefault="00CA4F8C" w:rsidP="00F0731B">
      <w:pPr>
        <w:spacing w:after="0" w:line="240" w:lineRule="auto"/>
      </w:pPr>
      <w:r>
        <w:separator/>
      </w:r>
    </w:p>
  </w:footnote>
  <w:footnote w:type="continuationSeparator" w:id="1">
    <w:p w:rsidR="00CA4F8C" w:rsidRDefault="00CA4F8C"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307"/>
    <w:multiLevelType w:val="hybridMultilevel"/>
    <w:tmpl w:val="1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9157F"/>
    <w:multiLevelType w:val="hybridMultilevel"/>
    <w:tmpl w:val="CC0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989"/>
    <w:multiLevelType w:val="hybridMultilevel"/>
    <w:tmpl w:val="15B6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0171"/>
    <w:multiLevelType w:val="hybridMultilevel"/>
    <w:tmpl w:val="E97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30828"/>
    <w:multiLevelType w:val="hybridMultilevel"/>
    <w:tmpl w:val="480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E6B9A"/>
    <w:multiLevelType w:val="hybridMultilevel"/>
    <w:tmpl w:val="7E4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27955"/>
    <w:multiLevelType w:val="hybridMultilevel"/>
    <w:tmpl w:val="E598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A28E9"/>
    <w:multiLevelType w:val="hybridMultilevel"/>
    <w:tmpl w:val="68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103AC"/>
    <w:multiLevelType w:val="hybridMultilevel"/>
    <w:tmpl w:val="170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97AA7"/>
    <w:multiLevelType w:val="hybridMultilevel"/>
    <w:tmpl w:val="65D6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50AB8"/>
    <w:multiLevelType w:val="hybridMultilevel"/>
    <w:tmpl w:val="F14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A0F0C"/>
    <w:multiLevelType w:val="hybridMultilevel"/>
    <w:tmpl w:val="E3D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C36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67E80"/>
    <w:multiLevelType w:val="hybridMultilevel"/>
    <w:tmpl w:val="6DD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7654A"/>
    <w:multiLevelType w:val="hybridMultilevel"/>
    <w:tmpl w:val="1366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A479B"/>
    <w:multiLevelType w:val="hybridMultilevel"/>
    <w:tmpl w:val="8C4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B78A8"/>
    <w:multiLevelType w:val="hybridMultilevel"/>
    <w:tmpl w:val="1512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3D5"/>
    <w:multiLevelType w:val="hybridMultilevel"/>
    <w:tmpl w:val="77C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5196F"/>
    <w:multiLevelType w:val="hybridMultilevel"/>
    <w:tmpl w:val="D44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96409"/>
    <w:multiLevelType w:val="hybridMultilevel"/>
    <w:tmpl w:val="DE8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02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3A74E2"/>
    <w:multiLevelType w:val="hybridMultilevel"/>
    <w:tmpl w:val="8DE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D5D9D"/>
    <w:multiLevelType w:val="hybridMultilevel"/>
    <w:tmpl w:val="16E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2422D"/>
    <w:multiLevelType w:val="hybridMultilevel"/>
    <w:tmpl w:val="EB6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519C1"/>
    <w:multiLevelType w:val="hybridMultilevel"/>
    <w:tmpl w:val="4A4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21252"/>
    <w:multiLevelType w:val="hybridMultilevel"/>
    <w:tmpl w:val="2D4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24A09"/>
    <w:multiLevelType w:val="hybridMultilevel"/>
    <w:tmpl w:val="F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A0F02"/>
    <w:multiLevelType w:val="hybridMultilevel"/>
    <w:tmpl w:val="D6E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C7E4F"/>
    <w:multiLevelType w:val="hybridMultilevel"/>
    <w:tmpl w:val="C25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2"/>
  </w:num>
  <w:num w:numId="5">
    <w:abstractNumId w:val="12"/>
  </w:num>
  <w:num w:numId="6">
    <w:abstractNumId w:val="5"/>
  </w:num>
  <w:num w:numId="7">
    <w:abstractNumId w:val="24"/>
  </w:num>
  <w:num w:numId="8">
    <w:abstractNumId w:val="25"/>
  </w:num>
  <w:num w:numId="9">
    <w:abstractNumId w:val="7"/>
  </w:num>
  <w:num w:numId="10">
    <w:abstractNumId w:val="4"/>
  </w:num>
  <w:num w:numId="11">
    <w:abstractNumId w:val="20"/>
  </w:num>
  <w:num w:numId="12">
    <w:abstractNumId w:val="9"/>
  </w:num>
  <w:num w:numId="13">
    <w:abstractNumId w:val="1"/>
  </w:num>
  <w:num w:numId="14">
    <w:abstractNumId w:val="11"/>
  </w:num>
  <w:num w:numId="15">
    <w:abstractNumId w:val="18"/>
  </w:num>
  <w:num w:numId="16">
    <w:abstractNumId w:val="29"/>
  </w:num>
  <w:num w:numId="17">
    <w:abstractNumId w:val="6"/>
  </w:num>
  <w:num w:numId="18">
    <w:abstractNumId w:val="14"/>
  </w:num>
  <w:num w:numId="19">
    <w:abstractNumId w:val="22"/>
  </w:num>
  <w:num w:numId="20">
    <w:abstractNumId w:val="15"/>
  </w:num>
  <w:num w:numId="21">
    <w:abstractNumId w:val="17"/>
  </w:num>
  <w:num w:numId="22">
    <w:abstractNumId w:val="8"/>
  </w:num>
  <w:num w:numId="23">
    <w:abstractNumId w:val="0"/>
  </w:num>
  <w:num w:numId="24">
    <w:abstractNumId w:val="23"/>
  </w:num>
  <w:num w:numId="25">
    <w:abstractNumId w:val="28"/>
  </w:num>
  <w:num w:numId="26">
    <w:abstractNumId w:val="3"/>
  </w:num>
  <w:num w:numId="27">
    <w:abstractNumId w:val="26"/>
  </w:num>
  <w:num w:numId="28">
    <w:abstractNumId w:val="27"/>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1ECF"/>
    <w:rsid w:val="00105D40"/>
    <w:rsid w:val="00150853"/>
    <w:rsid w:val="00173CE6"/>
    <w:rsid w:val="0017546D"/>
    <w:rsid w:val="001806AD"/>
    <w:rsid w:val="001806F5"/>
    <w:rsid w:val="0019259E"/>
    <w:rsid w:val="001C4E40"/>
    <w:rsid w:val="00241EF4"/>
    <w:rsid w:val="00253B79"/>
    <w:rsid w:val="00260E27"/>
    <w:rsid w:val="00264695"/>
    <w:rsid w:val="002A799F"/>
    <w:rsid w:val="002B4C63"/>
    <w:rsid w:val="002C26BF"/>
    <w:rsid w:val="00312FFA"/>
    <w:rsid w:val="00330901"/>
    <w:rsid w:val="00373823"/>
    <w:rsid w:val="00395A27"/>
    <w:rsid w:val="003B0B7A"/>
    <w:rsid w:val="003C7DE5"/>
    <w:rsid w:val="003F6A9A"/>
    <w:rsid w:val="00496742"/>
    <w:rsid w:val="004A5A8F"/>
    <w:rsid w:val="004B28F4"/>
    <w:rsid w:val="004D4C3E"/>
    <w:rsid w:val="004D7F8B"/>
    <w:rsid w:val="00503AF0"/>
    <w:rsid w:val="005544BF"/>
    <w:rsid w:val="00571895"/>
    <w:rsid w:val="00581ED7"/>
    <w:rsid w:val="005D5621"/>
    <w:rsid w:val="005D58FA"/>
    <w:rsid w:val="005E3357"/>
    <w:rsid w:val="005F747E"/>
    <w:rsid w:val="00631909"/>
    <w:rsid w:val="00635369"/>
    <w:rsid w:val="00662A52"/>
    <w:rsid w:val="00670B98"/>
    <w:rsid w:val="006A1B95"/>
    <w:rsid w:val="006C7529"/>
    <w:rsid w:val="006E6FA1"/>
    <w:rsid w:val="007342E3"/>
    <w:rsid w:val="00744435"/>
    <w:rsid w:val="007A44AD"/>
    <w:rsid w:val="007C1F2A"/>
    <w:rsid w:val="007D5AA6"/>
    <w:rsid w:val="007E7997"/>
    <w:rsid w:val="007F29A6"/>
    <w:rsid w:val="007F5AC5"/>
    <w:rsid w:val="00832F6A"/>
    <w:rsid w:val="00841826"/>
    <w:rsid w:val="00867E83"/>
    <w:rsid w:val="00894450"/>
    <w:rsid w:val="00897C4E"/>
    <w:rsid w:val="008B3E70"/>
    <w:rsid w:val="008E4FE1"/>
    <w:rsid w:val="00977E67"/>
    <w:rsid w:val="00981F5A"/>
    <w:rsid w:val="009974B9"/>
    <w:rsid w:val="009C2E00"/>
    <w:rsid w:val="009C64D6"/>
    <w:rsid w:val="00A81986"/>
    <w:rsid w:val="00A91EB0"/>
    <w:rsid w:val="00AA304A"/>
    <w:rsid w:val="00AC609C"/>
    <w:rsid w:val="00B43718"/>
    <w:rsid w:val="00B828AC"/>
    <w:rsid w:val="00BA7002"/>
    <w:rsid w:val="00C165F1"/>
    <w:rsid w:val="00C57364"/>
    <w:rsid w:val="00C62493"/>
    <w:rsid w:val="00C74734"/>
    <w:rsid w:val="00CA4F8C"/>
    <w:rsid w:val="00D62E9F"/>
    <w:rsid w:val="00D86830"/>
    <w:rsid w:val="00DB04CD"/>
    <w:rsid w:val="00E002E0"/>
    <w:rsid w:val="00E40853"/>
    <w:rsid w:val="00E536DE"/>
    <w:rsid w:val="00E61296"/>
    <w:rsid w:val="00E83653"/>
    <w:rsid w:val="00E94710"/>
    <w:rsid w:val="00EA00EF"/>
    <w:rsid w:val="00EA4604"/>
    <w:rsid w:val="00EB0EE2"/>
    <w:rsid w:val="00EE5380"/>
    <w:rsid w:val="00F0731B"/>
    <w:rsid w:val="00F65D80"/>
    <w:rsid w:val="00F91FCD"/>
    <w:rsid w:val="00FC06D5"/>
    <w:rsid w:val="00FE4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496742"/>
    <w:pPr>
      <w:tabs>
        <w:tab w:val="right" w:leader="dot" w:pos="5659"/>
      </w:tabs>
      <w:spacing w:after="100"/>
    </w:pPr>
    <w:rPr>
      <w:b/>
      <w:noProof/>
      <w:lang w:val="en-US"/>
    </w:rPr>
  </w:style>
  <w:style w:type="paragraph" w:styleId="Paragrafoelenco">
    <w:name w:val="List Paragraph"/>
    <w:basedOn w:val="Normale"/>
    <w:uiPriority w:val="34"/>
    <w:qFormat/>
    <w:rsid w:val="00581ED7"/>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58</Pages>
  <Words>8232</Words>
  <Characters>46927</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2023-11-07T21:57:00Z</dcterms:modified>
</cp:coreProperties>
</file>